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/>
      <w:hyperlink r:id="rId3" w:history="1">
        <w:r>
          <w:rPr>
            <w:rStyle w:val="Hyperlink"/>
          </w:rPr>
          <w:t xml:space="preserve">← Voltar ao menu do Projeto Piraju</w:t>
        </w:r>
      </w:hyperlink>
    </w:p>
    <w:p>
      <w:pPr>
        <w:pStyle w:val="Heading1"/>
      </w:pPr>
      <w:r>
        <w:t xml:space="preserve">Segmentação LinkedIn · Corretores de Câmbio</w:t>
      </w:r>
    </w:p>
    <w:p>
      <w:pPr/>
      <w:r>
        <w:t xml:space="preserve">Oct 10, 2026</w:t>
      </w:r>
      <w:r>
        <w:t xml:space="preserve"> · </w:t>
      </w:r>
      <w:r>
        <w:t xml:space="preserve">@Thiago Cavalcante</w:t>
      </w:r>
    </w:p>
    <w:p>
      <w:pPr>
        <w:pStyle w:val="Heading2"/>
      </w:pPr>
      <w:r>
        <w:t xml:space="preserve">Quem é o público</w:t>
      </w:r>
    </w:p>
    <w:p>
      <w:pPr/>
      <w:r>
        <w:t xml:space="preserve">O universo é pequeno e identificável. Além dos funcionários de mesas de câmbio de bancos e corretoras, existe a figura do </w:t>
      </w:r>
      <w:r>
        <w:rPr>
          <w:b/>
        </w:rPr>
        <w:t xml:space="preserve">correspondente cambial</w:t>
      </w:r>
      <w:r>
        <w:t xml:space="preserve">: 43 bancos e corretoras operam com esse modelo e têm parceria com 4.098 correspondentes únicos no país (BPMoney, 28/05/2024). O perfil descrito é de pequenos empresários, autônomos e pessoas físicas com relações comerciais ou financeiras com o exterior, regulados pelo Marco Cambial (Lei 14.286/2021, em vigor desde dezembro de 2022). Esse é exatamente o parceiro que a Piraju procura: alguém que já origina câmbio para uma instituição autorizada e tem carteira própria.</w:t>
      </w:r>
    </w:p>
    <w:p>
      <w:pPr/>
      <w:r>
        <w:t xml:space="preserve">No LinkedIn, esse público aparece de três formas, e a segmentação precisa cobrir as três: quem se descreve pelo cargo (corretor, operador, gerente de câmbio); quem se descreve pela competência (câmbio, FX, trade finance) em cargos genéricos como consultor ou sócio; e quem é identificado pela empresa onde trabalha (corretoras e correspondentes listados pelo Banco Central).</w:t>
      </w:r>
    </w:p>
    <w:p>
      <w:pPr/>
      <w:r>
        <w:rPr>
          <w:b/>
        </w:rPr>
        <w:t xml:space="preserve">Faixa etária.</w:t>
      </w:r>
      <w:r>
        <w:t xml:space="preserve"> O LinkedIn infere idade a partir do ano de formatura e trata o filtro como pouco confiável, disponível só em algumas regiões (ZenABM, 06/03/2026). Para este público, idade não é o critério; o que importa é ter carteira, e isso se aproxima melhor por senioridade e anos de experiência. Se quiser uma referência, a persona de quem tem carteira própria cai entre 35 e 55 anos, mas recomendo não usar idade como filtro: ela corta gente certa e não tira gente errada.</w:t>
      </w:r>
    </w:p>
    <w:p>
      <w:pPr/>
      <w:r>
        <w:rPr>
          <w:b/>
        </w:rPr>
        <w:t xml:space="preserve">Tamanho-alvo.</w:t>
      </w:r>
      <w:r>
        <w:t xml:space="preserve"> O mínimo do LinkedIn é 300 membros por campanha; a faixa recomendada para públicos de nicho é de 1.000 a 10.000 (ZenABM). Com o universo acima, um público bem filtrado no Brasil deve ficar entre 2.000 e 8.000 pessoas. Se o Campaign Manager mostrar mais de 30.000, o filtro está largo demais e provavelmente foi isso que aconteceu na campanha anterior.</w:t>
      </w:r>
    </w:p>
    <w:p>
      <w:pPr>
        <w:pStyle w:val="Heading2"/>
      </w:pPr>
      <w:r>
        <w:t xml:space="preserve">Parâmetros para o Campaign Manager</w:t>
      </w:r>
    </w:p>
    <w:p>
      <w:pPr/>
      <w:r>
        <w:t xml:space="preserve">Os nomes de cargos, setores e competências devem ser digitados no campo e escolhidos entre as sugestões que o LinkedIn oferece; a plataforma padroniza em inglês, então os dois idiomas estão listados.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Faceta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O que preencher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Observação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Localização</w:t>
            </w:r>
          </w:p>
        </w:tc>
        <w:tc>
          <w:tcPr>
            <w:tcW w:w="3120" w:type="dxa"/>
          </w:tcPr>
          <w:p>
            <w:pPr/>
            <w:r>
              <w:t xml:space="preserve">Brasil. Se quiser concentrar: São Paulo, Rio de Janeiro, Curitiba, Porto Alegre, Belo Horizonte, Florianópolis, Campinas</w:t>
            </w:r>
          </w:p>
        </w:tc>
        <w:tc>
          <w:tcPr>
            <w:tcW w:w="3120" w:type="dxa"/>
          </w:tcPr>
          <w:p>
            <w:pPr/>
            <w:r>
              <w:t xml:space="preserve">Mesas de câmbio e correspondentes se concentram em SP; comece nacional e leia o relatório demográfico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Cargos (Job titles)</w:t>
            </w:r>
          </w:p>
        </w:tc>
        <w:tc>
          <w:tcPr>
            <w:tcW w:w="3120" w:type="dxa"/>
          </w:tcPr>
          <w:p>
            <w:pPr/>
            <w:r>
              <w:t xml:space="preserve">Corretor de Câmbio; Operador de Câmbio; Gerente de Câmbio; Assessor de Câmbio; Consultor de Câmbio; Especialista em Câmbio; Analista de Câmbio (sêênior); Trader de Câmbio / FX Trader; Head de Câmbio / Head of FX; Diretor de Câmbio; Gerente de Mesa; Correspondente Cambial; Agente de Câmbio; Gerente de Trade Finance; Gerente de Comércio Exterior; FX Sales; Foreign Exchange Specialist</w:t>
            </w:r>
          </w:p>
        </w:tc>
        <w:tc>
          <w:tcPr>
            <w:tcW w:w="3120" w:type="dxa"/>
          </w:tcPr>
          <w:p>
            <w:pPr/>
            <w:r>
              <w:t xml:space="preserve">Use correspondência "atual" (cargo atual), não "atual ou anterior"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Funções (Job functions)</w:t>
            </w:r>
          </w:p>
        </w:tc>
        <w:tc>
          <w:tcPr>
            <w:tcW w:w="3120" w:type="dxa"/>
          </w:tcPr>
          <w:p>
            <w:pPr/>
            <w:r>
              <w:t xml:space="preserve">Finance; Sales; Business Development</w:t>
            </w:r>
          </w:p>
        </w:tc>
        <w:tc>
          <w:tcPr>
            <w:tcW w:w="3120" w:type="dxa"/>
          </w:tcPr>
          <w:p>
            <w:pPr/>
            <w:r>
              <w:t xml:space="preserve">Use só no público B, combinado com competências; sozinho é largo demais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Senioridade</w:t>
            </w:r>
          </w:p>
        </w:tc>
        <w:tc>
          <w:tcPr>
            <w:tcW w:w="3120" w:type="dxa"/>
          </w:tcPr>
          <w:p>
            <w:pPr/>
            <w:r>
              <w:t xml:space="preserve">Senior; Manager; Director; Owner; Partner; VP; CXO</w:t>
            </w:r>
          </w:p>
        </w:tc>
        <w:tc>
          <w:tcPr>
            <w:tcW w:w="3120" w:type="dxa"/>
          </w:tcPr>
          <w:p>
            <w:pPr/>
            <w:r>
              <w:t xml:space="preserve">Excluir Entry, Training, Unpaid: quem tem carteira não está no início de carreira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Anos de experiência</w:t>
            </w:r>
          </w:p>
        </w:tc>
        <w:tc>
          <w:tcPr>
            <w:tcW w:w="3120" w:type="dxa"/>
          </w:tcPr>
          <w:p>
            <w:pPr/>
            <w:r>
              <w:t xml:space="preserve">6 anos ou mais</w:t>
            </w:r>
          </w:p>
        </w:tc>
        <w:tc>
          <w:tcPr>
            <w:tcW w:w="3120" w:type="dxa"/>
          </w:tcPr>
          <w:p>
            <w:pPr/>
            <w:r>
              <w:t xml:space="preserve">Substitui o filtro de idade com mais precisão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Setores da empresa</w:t>
            </w:r>
          </w:p>
        </w:tc>
        <w:tc>
          <w:tcPr>
            <w:tcW w:w="3120" w:type="dxa"/>
          </w:tcPr>
          <w:p>
            <w:pPr/>
            <w:r>
              <w:t xml:space="preserve">Financial Services; Banking; Capital Markets; Investment Banking; Investment Management; International Trade and Development</w:t>
            </w:r>
          </w:p>
        </w:tc>
        <w:tc>
          <w:tcPr>
            <w:tcW w:w="3120" w:type="dxa"/>
          </w:tcPr>
          <w:p>
            <w:pPr/>
            <w:r>
              <w:t xml:space="preserve">Os dois últimos pegam correspondentes ligados a comércio exterior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Porte da empresa</w:t>
            </w:r>
          </w:p>
        </w:tc>
        <w:tc>
          <w:tcPr>
            <w:tcW w:w="3120" w:type="dxa"/>
          </w:tcPr>
          <w:p>
            <w:pPr/>
            <w:r>
              <w:t xml:space="preserve">1–10; 11–50; 51–200; 201–500</w:t>
            </w:r>
          </w:p>
        </w:tc>
        <w:tc>
          <w:tcPr>
            <w:tcW w:w="3120" w:type="dxa"/>
          </w:tcPr>
          <w:p>
            <w:pPr/>
            <w:r>
              <w:t xml:space="preserve">Correspondentes e corretoras independentes são pequenos; funcionário de grande banco raramente pode indicar para terceiros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Competências (Skills)</w:t>
            </w:r>
          </w:p>
        </w:tc>
        <w:tc>
          <w:tcPr>
            <w:tcW w:w="3120" w:type="dxa"/>
          </w:tcPr>
          <w:p>
            <w:pPr/>
            <w:r>
              <w:t xml:space="preserve">Câmbio; Foreign Exchange; FX; Forex; Operações de Câmbio; Trade Finance; Comércio Exterior; Remessas Internacionais; Mercado de Câmbio; Hedge Cambial; Investimento Estrangeiro</w:t>
            </w:r>
          </w:p>
        </w:tc>
        <w:tc>
          <w:tcPr>
            <w:tcW w:w="3120" w:type="dxa"/>
          </w:tcPr>
          <w:p>
            <w:pPr/>
            <w:r>
              <w:t xml:space="preserve">Base do público B; combina com função e setor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Grupos</w:t>
            </w:r>
          </w:p>
        </w:tc>
        <w:tc>
          <w:tcPr>
            <w:tcW w:w="3120" w:type="dxa"/>
          </w:tcPr>
          <w:p>
            <w:pPr/>
            <w:r>
              <w:t xml:space="preserve">Buscar no LinkedIn por "câmbio", "mercado de câmbio", "comércio exterior", "trade finance Brasil" e escolher os maiores com atividade recente</w:t>
            </w:r>
          </w:p>
        </w:tc>
        <w:tc>
          <w:tcPr>
            <w:tcW w:w="3120" w:type="dxa"/>
          </w:tcPr>
          <w:p>
            <w:pPr/>
            <w:r>
              <w:t xml:space="preserve">Facete fraca sozinha; some ao público B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Idade e gênero</w:t>
            </w:r>
          </w:p>
        </w:tc>
        <w:tc>
          <w:tcPr>
            <w:tcW w:w="3120" w:type="dxa"/>
          </w:tcPr>
          <w:p>
            <w:pPr/>
            <w:r>
              <w:t xml:space="preserve">Não usar</w:t>
            </w:r>
          </w:p>
        </w:tc>
        <w:tc>
          <w:tcPr>
            <w:tcW w:w="3120" w:type="dxa"/>
          </w:tcPr>
          <w:p>
            <w:pPr/>
            <w:r>
              <w:t xml:space="preserve">Inferido pelo LinkedIn, pouco confiável e corta público certo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Interesses</w:t>
            </w:r>
          </w:p>
        </w:tc>
        <w:tc>
          <w:tcPr>
            <w:tcW w:w="3120" w:type="dxa"/>
          </w:tcPr>
          <w:p>
            <w:pPr/>
            <w:r>
              <w:t xml:space="preserve">Não usar</w:t>
            </w:r>
          </w:p>
        </w:tc>
        <w:tc>
          <w:tcPr>
            <w:tcW w:w="3120" w:type="dxa"/>
          </w:tcPr>
          <w:p>
            <w:pPr/>
            <w:r>
              <w:t xml:space="preserve">Inferidos por engajamento; direcionais na melhor hipótese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Expansão de público e LinkedIn Audience Network</w:t>
            </w:r>
          </w:p>
        </w:tc>
        <w:tc>
          <w:tcPr>
            <w:tcW w:w="3120" w:type="dxa"/>
          </w:tcPr>
          <w:p>
            <w:pPr/>
            <w:r>
              <w:t xml:space="preserve">Desligar os dois</w:t>
            </w:r>
          </w:p>
        </w:tc>
        <w:tc>
          <w:tcPr>
            <w:tcW w:w="3120" w:type="dxa"/>
          </w:tcPr>
          <w:p>
            <w:pPr/>
            <w:r>
              <w:t xml:space="preserve">A expansão automática é a forma mais comum de uma campanha de nicho virar campanha genérica</w:t>
            </w:r>
          </w:p>
        </w:tc>
      </w:tr>
    </w:tbl>
    <w:p>
      <w:pPr>
        <w:pStyle w:val="Heading2"/>
      </w:pPr>
      <w:r>
        <w:t xml:space="preserve">Exclusões e armadilhas</w:t>
      </w:r>
    </w:p>
    <w:p>
      <w:pPr/>
      <w:r>
        <w:rPr>
          <w:b/>
        </w:rPr>
        <w:t xml:space="preserve">Excluir por cargo:</w:t>
      </w:r>
      <w:r>
        <w:t xml:space="preserve"> Analista Júnior; Estagiário; Assistente; Caixa; Atendente; Trader de criptomoedas; Assessor de Investimentos sem câmbio no perfil (vende renda variável, não câmbio); Professor; Recrutador. </w:t>
      </w:r>
      <w:r>
        <w:rPr>
          <w:b/>
        </w:rPr>
        <w:t xml:space="preserve">Excluir por setor:</w:t>
      </w:r>
      <w:r>
        <w:t xml:space="preserve"> Staffing and Recruiting; Education; Marketing Services. </w:t>
      </w:r>
      <w:r>
        <w:rPr>
          <w:b/>
        </w:rPr>
        <w:t xml:space="preserve">Excluir por empresa:</w:t>
      </w:r>
      <w:r>
        <w:t xml:space="preserve"> as três ou quatro maiores instituições financeiras do país, cujos funcionários não podem indicar operações a terceiros; e os concorrentes diretos que você não quer alertar.</w:t>
      </w:r>
    </w:p>
    <w:p>
      <w:pPr/>
      <w:r>
        <w:rPr>
          <w:b/>
        </w:rPr>
        <w:t xml:space="preserve">Três armadilhas prováveis na campanha anterior.</w:t>
      </w:r>
      <w:r>
        <w:t xml:space="preserve"> A primeira é a expansão automática de público, ligada por padrão, que leva o anúncio a "perfis semelhantes" e dilui o nicho. A segunda é segmentar por função "Finance" sem competência de câmbio, o que entrega o anúncio a contadores e analistas financeiros. A terceira é o próprio texto: mesmo com o público certo, um anúncio sem nome, sem instituição liquidante e com remuneração em base errada não converte, como analisado na mensagem anterior. Segmentação e texto precisam ser corrigidos juntos.</w:t>
      </w:r>
    </w:p>
    <w:p>
      <w:pPr>
        <w:pStyle w:val="Heading2"/>
      </w:pPr>
      <w:r>
        <w:t xml:space="preserve">Três públicos para testar</w:t>
      </w:r>
    </w:p>
    <w:p>
      <w:pPr/>
      <w:r>
        <w:t xml:space="preserve">Rode os três em campanhas separadas, com o mesmo criativo, para saber qual filtro traz resposta. Em cada um, localização Brasil, senioridade Senior ou acima, expansão desligada.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Público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Como montar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Tamanho esperado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Para que serve</w:t>
            </w:r>
          </w:p>
        </w:tc>
      </w:tr>
      <w:tr>
        <w:tc>
          <w:tcPr>
            <w:tcW w:w="2340" w:type="dxa"/>
          </w:tcPr>
          <w:p>
            <w:pPr/>
            <w:r>
              <w:rPr>
                <w:b/>
              </w:rPr>
              <w:t xml:space="preserve">A · Cargo</w:t>
            </w:r>
          </w:p>
        </w:tc>
        <w:tc>
          <w:tcPr>
            <w:tcW w:w="2340" w:type="dxa"/>
          </w:tcPr>
          <w:p>
            <w:pPr/>
            <w:r>
              <w:t xml:space="preserve">Cargos da tabela (todos) E setores financeiros E porte até 500</w:t>
            </w:r>
          </w:p>
        </w:tc>
        <w:tc>
          <w:tcPr>
            <w:tcW w:w="2340" w:type="dxa"/>
          </w:tcPr>
          <w:p>
            <w:pPr/>
            <w:r>
              <w:t xml:space="preserve">1.500 a 5.000</w:t>
            </w:r>
          </w:p>
        </w:tc>
        <w:tc>
          <w:tcPr>
            <w:tcW w:w="2340" w:type="dxa"/>
          </w:tcPr>
          <w:p>
            <w:pPr/>
            <w:r>
              <w:t xml:space="preserve">Quem se apresenta como profissional de câmbio. Público mais preciso; costuma ser o menor</w:t>
            </w:r>
          </w:p>
        </w:tc>
      </w:tr>
      <w:tr>
        <w:tc>
          <w:tcPr>
            <w:tcW w:w="2340" w:type="dxa"/>
          </w:tcPr>
          <w:p>
            <w:pPr/>
            <w:r>
              <w:rPr>
                <w:b/>
              </w:rPr>
              <w:t xml:space="preserve">B · Competência</w:t>
            </w:r>
          </w:p>
        </w:tc>
        <w:tc>
          <w:tcPr>
            <w:tcW w:w="2340" w:type="dxa"/>
          </w:tcPr>
          <w:p>
            <w:pPr/>
            <w:r>
              <w:t xml:space="preserve">Competências de câmbio (pelo menos uma) E função Finance, Sales ou Business Development E setores financeiros ou comércio exterior E 6+ anos de experiência; excluir quem já está no público A</w:t>
            </w:r>
          </w:p>
        </w:tc>
        <w:tc>
          <w:tcPr>
            <w:tcW w:w="2340" w:type="dxa"/>
          </w:tcPr>
          <w:p>
            <w:pPr/>
            <w:r>
              <w:t xml:space="preserve">3.000 a 10.000</w:t>
            </w:r>
          </w:p>
        </w:tc>
        <w:tc>
          <w:tcPr>
            <w:tcW w:w="2340" w:type="dxa"/>
          </w:tcPr>
          <w:p>
            <w:pPr/>
            <w:r>
              <w:t xml:space="preserve">Sócios, consultores e gerentes comerciais que operam câmbio sem ter "câmbio" no cargo; é onde estão muitos correspondentes</w:t>
            </w:r>
          </w:p>
        </w:tc>
      </w:tr>
      <w:tr>
        <w:tc>
          <w:tcPr>
            <w:tcW w:w="2340" w:type="dxa"/>
          </w:tcPr>
          <w:p>
            <w:pPr/>
            <w:r>
              <w:rPr>
                <w:b/>
              </w:rPr>
              <w:t xml:space="preserve">C · Lista de empresas</w:t>
            </w:r>
          </w:p>
        </w:tc>
        <w:tc>
          <w:tcPr>
            <w:tcW w:w="2340" w:type="dxa"/>
          </w:tcPr>
          <w:p>
            <w:pPr/>
            <w:r>
              <w:t xml:space="preserve">Público correspondente (Matched Audience) com a lista de corretoras de câmbio e correspondentes cambiais autorizados, disponível nas listagens públicas do Banco Central, E senioridade Senior ou acima</w:t>
            </w:r>
          </w:p>
        </w:tc>
        <w:tc>
          <w:tcPr>
            <w:tcW w:w="2340" w:type="dxa"/>
          </w:tcPr>
          <w:p>
            <w:pPr/>
            <w:r>
              <w:t xml:space="preserve">1.000 a 4.000</w:t>
            </w:r>
          </w:p>
        </w:tc>
        <w:tc>
          <w:tcPr>
            <w:tcW w:w="2340" w:type="dxa"/>
          </w:tcPr>
          <w:p>
            <w:pPr/>
            <w:r>
              <w:t xml:space="preserve">Identifica pela empresa, independente de como a pessoa descreve o cargo. Exige subir um CSV com nomes de empresas (mínimo 300 correspondem)</w:t>
            </w:r>
          </w:p>
        </w:tc>
      </w:tr>
    </w:tbl>
    <w:p>
      <w:pPr/>
      <w:r>
        <w:t xml:space="preserve">Depois de duas semanas, o relatório demográfico da campanha mostra quais cargos, setores e empresas de fato clicaram e responderam. Use isso para montar o público D, refinado, e para gerar a lista nominal da abordagem direta (ação 5 da estratégia): os cargos que responderam ao anúncio são os mesmos a procurar manualmente.</w:t>
      </w:r>
    </w:p>
    <w:p>
      <w:pPr>
        <w:pStyle w:val="Heading2"/>
      </w:pPr>
      <w:r>
        <w:t xml:space="preserve">Formato, teste e medição</w:t>
      </w:r>
    </w:p>
    <w:p>
      <w:pPr/>
      <w:r>
        <w:rPr>
          <w:b/>
        </w:rPr>
        <w:t xml:space="preserve">Formato.</w:t>
      </w:r>
      <w:r>
        <w:t xml:space="preserve"> Para este público, conteúdo patrocinado (post de imagem única ou documento) a partir do perfil da Piraju funciona melhor do que mensagem patrocinada: o corretor vê quem está falando, pode abrir o perfil e checar. Use o texto do post já preparado, com o contato de Dalton Neman. Se quiser testar mensagem, use o modelo de mensagem direta, mas só depois que o post estiver publicado e o perfil tiver conteúdo.</w:t>
      </w:r>
    </w:p>
    <w:p>
      <w:pPr/>
      <w:r>
        <w:rPr>
          <w:b/>
        </w:rPr>
        <w:t xml:space="preserve">Objetivo da campanha.</w:t>
      </w:r>
      <w:r>
        <w:t xml:space="preserve"> Engajamento ou visitas ao perfil, não geração de leads com formulário: o corretor não preenche formulário de desconhecido, mas escreve um e-mail se o conteúdo o convenceu.</w:t>
      </w:r>
    </w:p>
    <w:p>
      <w:pPr/>
      <w:r>
        <w:rPr>
          <w:b/>
        </w:rPr>
        <w:t xml:space="preserve">Orçamento de teste.</w:t>
      </w:r>
      <w:r>
        <w:t xml:space="preserve"> O menor que a plataforma aceitar por campanha, por 14 dias, nos três públicos. O objetivo do teste é descobrir qual filtro responde, não escalar.</w:t>
      </w:r>
    </w:p>
    <w:p>
      <w:pPr/>
      <w:r>
        <w:rPr>
          <w:b/>
        </w:rPr>
        <w:t xml:space="preserve">O que medir em 14 dias.</w:t>
      </w:r>
      <w:r>
        <w:t xml:space="preserve"> Por público: tamanho real exibido, impressões, taxa de clique, visitas ao perfil, e principalmente o relatório demográfico de quem clicou (cargo, setor, empresa, porte). Fora da plataforma: e-mails e ligações recebidos por Dalton, com a pergunta "como chegou até nós". Critério de sucesso do teste: pelo menos um público com clique majoritariamente de cargos de câmbio e ao menos um contato qualificado. Se nenhum público atingir isso, o problema está no texto ou na falta de instituição liquidante nomeada, não na segmentação.</w:t>
      </w:r>
    </w:p>
    <w:p>
      <w:pPr>
        <w:pStyle w:val="Heading2"/>
      </w:pPr>
      <w:r>
        <w:t xml:space="preserve">Fontes</w:t>
      </w:r>
    </w:p>
    <w:p>
      <w:pPr>
        <w:pStyle w:val="ListParagraph"/>
        <w:numPr>
          <w:ilvl w:val="0"/>
          <w:numId w:val="2"/>
        </w:numPr>
      </w:pPr>
      <w:r>
        <w:t xml:space="preserve">BPMoney, "Futuro do câmbio no Brasil depende dos correspondentes cambiais", 28/05/2024 — 43 instituições, 4.098 correspondentes, perfil e Marco Cambial.</w:t>
      </w:r>
    </w:p>
    <w:p>
      <w:pPr>
        <w:pStyle w:val="ListParagraph"/>
        <w:numPr>
          <w:ilvl w:val="0"/>
          <w:numId w:val="2"/>
        </w:numPr>
      </w:pPr>
      <w:r>
        <w:t xml:space="preserve">ZenABM, "LinkedIn targeting options", 06/03/2026 — facetas do Campaign Manager, mínimo de 300 membros, faixa recomendada, limitações de idade e interesses.</w:t>
      </w:r>
    </w:p>
    <w:p>
      <w:pPr>
        <w:pStyle w:val="ListParagraph"/>
        <w:numPr>
          <w:ilvl w:val="0"/>
          <w:numId w:val="2"/>
        </w:numPr>
      </w:pPr>
      <w:r>
        <w:t xml:space="preserve">Banco Central do Brasil — listagens públicas de instituições autorizadas a operar em câmbio e de correspondentes, base para o público C (a consultar no site do BCB ao montar a lista).</w:t>
      </w:r>
    </w:p>
    <w:p>
      <w:pPr/>
      <w:r>
        <w:t xml:space="preserve">As listas de cargos, competências e exclusões são recomendação desta análise, a ajustar pelas sugestões que o próprio Campaign Manager exibir ao digitar cada termo.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yperlink" Target="index.html" TargetMode="Externa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Segmentação LinkedIn · Corretores de Câmbio</dc:title>
  <dc:description>Claude Docs node/6f7807b4-886d@7 docx-w6</dc:description>
  <cp:revision>7</cp:revision>
</cp:coreProperties>
</file>